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7.png" ContentType="image/png"/>
  <Override PartName="/word/media/rId135.png" ContentType="image/png"/>
  <Override PartName="/word/media/rId143.png" ContentType="image/png"/>
  <Override PartName="/word/media/rId139.png" ContentType="image/png"/>
  <Override PartName="/word/media/rId27.png" ContentType="image/png"/>
  <Override PartName="/word/media/rId159.png" ContentType="image/png"/>
  <Override PartName="/word/media/rId11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02-12-2024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rehabilitation, lateral barrier rehabilitation, dam rehabilitation, and barrier prevention strategies.</w:t>
      </w:r>
    </w:p>
    <w:p>
      <w:pPr>
        <w:pStyle w:val="BodyText"/>
      </w:pPr>
      <w:r>
        <w:t xml:space="preserve">WCRPs are long-term, actionable plans that blend local stakeholder and rightsholder knowledge with innovative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restoration efforts will take place. Additionally, the team selected target fish species, assessed their current connectivity status in the watershed, defined concrete goals for gains in connectivity, and developed a priority list of barriers for rehabilitation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rehabilitation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rehabilitation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6ecf4"/>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6 mapped small dams on</w:t>
      </w:r>
      <w:r>
        <w:t xml:space="preserve"> </w:t>
      </w:r>
      <w:r>
        <w:t xml:space="preserve">“</w:t>
      </w:r>
      <w:r>
        <w:t xml:space="preserve">potentially accessible</w:t>
      </w:r>
      <w:r>
        <w:t xml:space="preserve">”</w:t>
      </w:r>
      <w:r>
        <w:t xml:space="preserve"> </w:t>
      </w:r>
      <w:r>
        <w:t xml:space="preserve">stream segments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rehabilitate.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rehabilitation may not be required, or rehabilitation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rehabilitation.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r>
        <w:t xml:space="preserve"> </w:t>
      </w:r>
      <w:r>
        <w:t xml:space="preserve">1. 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(Table XX).</w:t>
      </w:r>
      <w:r>
        <w:t xml:space="preserve"> </w:t>
      </w:r>
      <w:r>
        <w:t xml:space="preserve">2. 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 (</w:t>
      </w:r>
      <w:r>
        <w:rPr>
          <w:bCs/>
          <w:b/>
        </w:rPr>
        <w:t xml:space="preserve">?@tbl-param</w:t>
      </w:r>
      <w:r>
        <w:t xml:space="preserve">).</w:t>
      </w:r>
      <w:r>
        <w:t xml:space="preserve"> </w:t>
      </w:r>
      <w:r>
        <w:t xml:space="preserve">3. 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 Appendix C.</w:t>
      </w:r>
    </w:p>
    <w:bookmarkStart w:id="56" w:name="tbl-connectivity"/>
    <w:bookmarkStart w:id="55" w:name="T_a3738"/>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1cfc4"/>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b7813"/>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0" w:name="barrier-prioritization"/>
    <w:p>
      <w:pPr>
        <w:pStyle w:val="Heading1"/>
      </w:pPr>
      <w:r>
        <w:t xml:space="preserve">Barrier Prioritization</w:t>
      </w:r>
    </w:p>
    <w:bookmarkStart w:id="69"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14.77 km of spawning or rearing habitat (</w:t>
      </w:r>
      <w:hyperlink w:anchor="tbl-table16">
        <w:r>
          <w:rPr>
            <w:rStyle w:val="Hyperlink"/>
          </w:rPr>
          <w:t xml:space="preserve">Table 4</w:t>
        </w:r>
      </w:hyperlink>
      <w:r>
        <w:t xml:space="preserve">):</w:t>
      </w:r>
    </w:p>
    <w:bookmarkStart w:id="64" w:name="tbl-table16"/>
    <w:bookmarkStart w:id="63" w:name="T_a63cf"/>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p>
      <w:pPr>
        <w:pStyle w:val="BodyText"/>
      </w:pPr>
      <w:r>
        <w:t xml:space="preserve">Out of the 0 on the intermediate list, 16 require further field assessment before selection as a final barrier to pursue for remediation:</w:t>
      </w:r>
    </w:p>
    <w:p>
      <w:pPr>
        <w:pStyle w:val="BodyText"/>
      </w:pPr>
      <w:r>
        <w:t xml:space="preserve">There are currently 0 barriers on the priority barrier list, which will be pursued for proactive remediation to achieve the connectivity goals in this plan:</w:t>
      </w:r>
    </w:p>
    <w:bookmarkStart w:id="68"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8"/>
    <w:bookmarkEnd w:id="69"/>
    <w:bookmarkEnd w:id="70"/>
    <w:bookmarkStart w:id="78" w:name="work-planning"/>
    <w:p>
      <w:pPr>
        <w:pStyle w:val="Heading1"/>
      </w:pPr>
      <w:r>
        <w:t xml:space="preserve">Work Planning</w:t>
      </w:r>
    </w:p>
    <w:bookmarkStart w:id="71" w:name="annual-progress-report"/>
    <w:p>
      <w:pPr>
        <w:pStyle w:val="Heading2"/>
      </w:pPr>
      <w:r>
        <w:t xml:space="preserve">Annual Progress Report</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 CWF is completing another round of barrier assessments and habitat confirmations in the watershed, with field work to be completed in summer/fall 2024.</w:t>
      </w:r>
    </w:p>
    <w:bookmarkEnd w:id="71"/>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2" w:name="tbl-S1"/>
    <w:p>
      <w:pPr>
        <w:pStyle w:val="BodyText"/>
      </w:pPr>
      <w:r>
        <w:rPr>
          <w:bCs/>
          <w:b/>
        </w:rPr>
        <w:t xml:space="preserve">?(caption)</w:t>
      </w:r>
    </w:p>
    <w:bookmarkEnd w:id="72"/>
    <w:bookmarkStart w:id="74" w:name="tbl-opplan"/>
    <w:bookmarkStart w:id="73" w:name="T_814e8"/>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3"/>
    <w:bookmarkEnd w:id="74"/>
    <w:bookmarkStart w:id="75" w:name="tbl-fund"/>
    <w:p>
      <w:pPr>
        <w:pStyle w:val="BodyText"/>
      </w:pPr>
      <w:r>
        <w:rPr>
          <w:bCs/>
          <w:b/>
        </w:rPr>
        <w:t xml:space="preserve">?(caption)</w:t>
      </w:r>
    </w:p>
    <w:bookmarkEnd w:id="75"/>
    <w:bookmarkEnd w:id="76"/>
    <w:bookmarkStart w:id="77" w:name="annual-work-plan"/>
    <w:p>
      <w:pPr>
        <w:pStyle w:val="Heading2"/>
      </w:pPr>
      <w:r>
        <w:t xml:space="preserve">Annual Work Plan</w:t>
      </w:r>
    </w:p>
    <w:bookmarkEnd w:id="77"/>
    <w:bookmarkEnd w:id="78"/>
    <w:bookmarkStart w:id="106" w:name="references"/>
    <w:p>
      <w:pPr>
        <w:pStyle w:val="Heading1"/>
      </w:pPr>
      <w:r>
        <w:t xml:space="preserve">References</w:t>
      </w:r>
    </w:p>
    <w:bookmarkStart w:id="105"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4"/>
    <w:bookmarkStart w:id="85"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5"/>
    <w:bookmarkStart w:id="86"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6"/>
    <w:bookmarkStart w:id="87"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7"/>
    <w:bookmarkStart w:id="88"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8"/>
    <w:bookmarkStart w:id="89"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9"/>
    <w:bookmarkStart w:id="90"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0"/>
    <w:bookmarkStart w:id="91"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1"/>
    <w:bookmarkStart w:id="92"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2"/>
    <w:bookmarkStart w:id="93"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3"/>
    <w:bookmarkStart w:id="94"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4"/>
    <w:bookmarkStart w:id="95"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5"/>
    <w:bookmarkStart w:id="9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6"/>
    <w:bookmarkStart w:id="9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7"/>
    <w:bookmarkStart w:id="9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8"/>
    <w:bookmarkStart w:id="9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Start w:id="102"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2"/>
    <w:bookmarkStart w:id="103"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3"/>
    <w:bookmarkStart w:id="10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4"/>
    <w:bookmarkEnd w:id="105"/>
    <w:bookmarkEnd w:id="106"/>
    <w:bookmarkStart w:id="108" w:name="version-history"/>
    <w:p>
      <w:pPr>
        <w:pStyle w:val="Heading1"/>
      </w:pPr>
      <w:r>
        <w:t xml:space="preserve">Version History</w:t>
      </w:r>
    </w:p>
    <w:p>
      <w:pPr>
        <w:pStyle w:val="FirstParagraph"/>
      </w:pPr>
      <w:hyperlink r:id="rId107">
        <w:r>
          <w:rPr>
            <w:rStyle w:val="Hyperlink"/>
          </w:rPr>
          <w:t xml:space="preserve">v.1.0 – March 2024</w:t>
        </w:r>
      </w:hyperlink>
    </w:p>
    <w:bookmarkEnd w:id="108"/>
    <w:bookmarkStart w:id="113" w:name="project-partners"/>
    <w:p>
      <w:pPr>
        <w:pStyle w:val="Heading1"/>
      </w:pPr>
      <w:r>
        <w:t xml:space="preserve">Project Partners</w:t>
      </w:r>
    </w:p>
    <w:bookmarkStart w:id="110" w:name="planning-team"/>
    <w:p>
      <w:pPr>
        <w:pStyle w:val="Heading2"/>
      </w:pPr>
      <w:r>
        <w:t xml:space="preserve">Planning Team</w:t>
      </w:r>
    </w:p>
    <w:bookmarkStart w:id="10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09"/>
    <w:bookmarkEnd w:id="110"/>
    <w:bookmarkStart w:id="112" w:name="key-actors"/>
    <w:p>
      <w:pPr>
        <w:pStyle w:val="Heading2"/>
      </w:pPr>
      <w:r>
        <w:t xml:space="preserve">Key Actors</w:t>
      </w:r>
    </w:p>
    <w:bookmarkStart w:id="11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1"/>
    <w:bookmarkEnd w:id="112"/>
    <w:bookmarkEnd w:id="113"/>
    <w:bookmarkStart w:id="157"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313305"/>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17"/>
        </w:tc>
      </w:tr>
    </w:tbl>
    <w:bookmarkEnd w:id="118"/>
    <w:bookmarkStart w:id="11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crossing-remediation"/>
    <w:p>
      <w:pPr>
        <w:pStyle w:val="Heading2"/>
      </w:pPr>
      <w:r>
        <w:t xml:space="preserve">Strategy 1: Crossing Remediation</w:t>
      </w:r>
    </w:p>
    <w:bookmarkStart w:id="121" w:name="tbl-S1"/>
    <w:bookmarkStart w:id="120" w:name="T_c76ac"/>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0"/>
    <w:bookmarkEnd w:id="121"/>
    <w:bookmarkEnd w:id="122"/>
    <w:bookmarkStart w:id="125" w:name="strategy-2-lateral-barrier-remediation"/>
    <w:p>
      <w:pPr>
        <w:pStyle w:val="Heading2"/>
      </w:pPr>
      <w:r>
        <w:t xml:space="preserve">Strategy 2: Lateral Barrier Remediation</w:t>
      </w:r>
    </w:p>
    <w:bookmarkStart w:id="124" w:name="tbl-S2"/>
    <w:bookmarkStart w:id="123" w:name="T_5f0e6"/>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3-dam-remediation"/>
    <w:p>
      <w:pPr>
        <w:pStyle w:val="Heading2"/>
      </w:pPr>
      <w:r>
        <w:t xml:space="preserve">Strategy 3: Dam Remediation</w:t>
      </w:r>
    </w:p>
    <w:bookmarkStart w:id="127" w:name="tbl-S3"/>
    <w:bookmarkStart w:id="126" w:name="T_da04a"/>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6"/>
    <w:bookmarkEnd w:id="127"/>
    <w:bookmarkEnd w:id="128"/>
    <w:bookmarkStart w:id="131" w:name="strategy-4-barrier-prevention"/>
    <w:p>
      <w:pPr>
        <w:pStyle w:val="Heading2"/>
      </w:pPr>
      <w:r>
        <w:t xml:space="preserve">Strategy 4: Barrier Prevention</w:t>
      </w:r>
    </w:p>
    <w:bookmarkStart w:id="130" w:name="tbl-S4"/>
    <w:bookmarkStart w:id="129" w:name="T_6d837"/>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9"/>
    <w:bookmarkEnd w:id="130"/>
    <w:bookmarkEnd w:id="131"/>
    <w:bookmarkStart w:id="134" w:name="strategy-5-communication-and-education"/>
    <w:p>
      <w:pPr>
        <w:pStyle w:val="Heading2"/>
      </w:pPr>
      <w:r>
        <w:t xml:space="preserve">Strategy 5: Communication and Education</w:t>
      </w:r>
    </w:p>
    <w:bookmarkStart w:id="133" w:name="tbl-S5"/>
    <w:bookmarkStart w:id="132" w:name="T_32f25"/>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2"/>
    <w:bookmarkEnd w:id="133"/>
    <w:bookmarkEnd w:id="134"/>
    <w:bookmarkStart w:id="151"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8" w:name="fig-stra1"/>
          <w:p>
            <w:pPr>
              <w:jc w:val="center"/>
            </w:pPr>
            <w:r>
              <w:drawing>
                <wp:inline>
                  <wp:extent cx="5334000" cy="2978474"/>
                  <wp:effectExtent b="0" l="0" r="0" t="0"/>
                  <wp:docPr descr="" title="" id="136" name="Picture"/>
                  <a:graphic>
                    <a:graphicData uri="http://schemas.openxmlformats.org/drawingml/2006/picture">
                      <pic:pic>
                        <pic:nvPicPr>
                          <pic:cNvPr descr="content/images/flowchart-crossing-rem.png" id="137" name="Picture"/>
                          <pic:cNvPicPr>
                            <a:picLocks noChangeArrowheads="1" noChangeAspect="1"/>
                          </pic:cNvPicPr>
                        </pic:nvPicPr>
                        <pic:blipFill>
                          <a:blip r:embed="rId135"/>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3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2" w:name="fig-stra2"/>
          <w:p>
            <w:pPr>
              <w:jc w:val="center"/>
            </w:pPr>
            <w:r>
              <w:drawing>
                <wp:inline>
                  <wp:extent cx="5334000" cy="3283590"/>
                  <wp:effectExtent b="0" l="0" r="0" t="0"/>
                  <wp:docPr descr="" title="" id="140" name="Picture"/>
                  <a:graphic>
                    <a:graphicData uri="http://schemas.openxmlformats.org/drawingml/2006/picture">
                      <pic:pic>
                        <pic:nvPicPr>
                          <pic:cNvPr descr="content/images/flowchart-lat-bar-rem.png" id="141" name="Picture"/>
                          <pic:cNvPicPr>
                            <a:picLocks noChangeArrowheads="1" noChangeAspect="1"/>
                          </pic:cNvPicPr>
                        </pic:nvPicPr>
                        <pic:blipFill>
                          <a:blip r:embed="rId139"/>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3"/>
          <w:p>
            <w:pPr>
              <w:jc w:val="center"/>
            </w:pPr>
            <w:r>
              <w:drawing>
                <wp:inline>
                  <wp:extent cx="5334000" cy="2652452"/>
                  <wp:effectExtent b="0" l="0" r="0" t="0"/>
                  <wp:docPr descr="" title="" id="144" name="Picture"/>
                  <a:graphic>
                    <a:graphicData uri="http://schemas.openxmlformats.org/drawingml/2006/picture">
                      <pic:pic>
                        <pic:nvPicPr>
                          <pic:cNvPr descr="content/images/flowchart-dam-rem.png" id="145" name="Picture"/>
                          <pic:cNvPicPr>
                            <a:picLocks noChangeArrowheads="1" noChangeAspect="1"/>
                          </pic:cNvPicPr>
                        </pic:nvPicPr>
                        <pic:blipFill>
                          <a:blip r:embed="rId143"/>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4"/>
          <w:p>
            <w:pPr>
              <w:jc w:val="center"/>
            </w:pPr>
            <w:r>
              <w:drawing>
                <wp:inline>
                  <wp:extent cx="5334000" cy="3229103"/>
                  <wp:effectExtent b="0" l="0" r="0" t="0"/>
                  <wp:docPr descr="" title="" id="148" name="Picture"/>
                  <a:graphic>
                    <a:graphicData uri="http://schemas.openxmlformats.org/drawingml/2006/picture">
                      <pic:pic>
                        <pic:nvPicPr>
                          <pic:cNvPr descr="content/images/flowchart-bar-prevent.png" id="149" name="Picture"/>
                          <pic:cNvPicPr>
                            <a:picLocks noChangeArrowheads="1" noChangeAspect="1"/>
                          </pic:cNvPicPr>
                        </pic:nvPicPr>
                        <pic:blipFill>
                          <a:blip r:embed="rId147"/>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0"/>
        </w:tc>
      </w:tr>
    </w:tbl>
    <w:bookmarkEnd w:id="151"/>
    <w:bookmarkStart w:id="154"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53" w:name="tbl-opplan"/>
    <w:bookmarkStart w:id="152" w:name="T_7a82c"/>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52"/>
    <w:bookmarkEnd w:id="153"/>
    <w:bookmarkEnd w:id="154"/>
    <w:bookmarkStart w:id="156" w:name="funding-sources"/>
    <w:p>
      <w:pPr>
        <w:pStyle w:val="Heading2"/>
      </w:pPr>
      <w:r>
        <w:t xml:space="preserve">Funding Sources</w:t>
      </w:r>
    </w:p>
    <w:bookmarkStart w:id="155"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55"/>
    <w:bookmarkEnd w:id="156"/>
    <w:bookmarkEnd w:id="157"/>
    <w:bookmarkStart w:id="167" w:name="data-download-and-methods"/>
    <w:p>
      <w:pPr>
        <w:pStyle w:val="Heading1"/>
      </w:pPr>
      <w:r>
        <w:t xml:space="preserve">Data Download and Methods</w:t>
      </w:r>
    </w:p>
    <w:bookmarkStart w:id="163"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58">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62" w:name="fig-over"/>
          <w:p>
            <w:pPr>
              <w:jc w:val="center"/>
            </w:pPr>
            <w:r>
              <w:drawing>
                <wp:inline>
                  <wp:extent cx="4825573" cy="3918857"/>
                  <wp:effectExtent b="0" l="0" r="0" t="0"/>
                  <wp:docPr descr="" title="" id="160" name="Picture"/>
                  <a:graphic>
                    <a:graphicData uri="http://schemas.openxmlformats.org/drawingml/2006/picture">
                      <pic:pic>
                        <pic:nvPicPr>
                          <pic:cNvPr descr="content/images/overview-map-hors.png" id="161" name="Picture"/>
                          <pic:cNvPicPr>
                            <a:picLocks noChangeArrowheads="1" noChangeAspect="1"/>
                          </pic:cNvPicPr>
                        </pic:nvPicPr>
                        <pic:blipFill>
                          <a:blip r:embed="rId159"/>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62"/>
        </w:tc>
      </w:tr>
    </w:tbl>
    <w:bookmarkEnd w:id="163"/>
    <w:bookmarkStart w:id="16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6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64"/>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Start w:id="165" w:name="tbl-paramstest"/>
    <w:p>
      <w:pPr>
        <w:pStyle w:val="BodyText"/>
      </w:pPr>
      <w:r>
        <w:rPr>
          <w:bCs/>
          <w:b/>
        </w:rPr>
        <w:t xml:space="preserve">?(caption)</w:t>
      </w:r>
    </w:p>
    <w:bookmarkEnd w:id="165"/>
    <w:bookmarkEnd w:id="166"/>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114" Target="media/rId114.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2024-12-02T18:57:10Z</dcterms:created>
  <dcterms:modified xsi:type="dcterms:W3CDTF">2024-12-02T18:57:10Z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02-12-2024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